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151EFBC3" w:rsidR="000B00BF" w:rsidRPr="00F04A34" w:rsidRDefault="000B00BF" w:rsidP="00F04A34">
      <w:pPr>
        <w:spacing w:line="276" w:lineRule="auto"/>
        <w:jc w:val="center"/>
        <w:rPr>
          <w:b/>
          <w:spacing w:val="40"/>
          <w:sz w:val="32"/>
          <w:szCs w:val="32"/>
        </w:rPr>
      </w:pPr>
      <w:r w:rsidRPr="00F04A34">
        <w:rPr>
          <w:b/>
          <w:spacing w:val="40"/>
          <w:sz w:val="32"/>
          <w:szCs w:val="32"/>
        </w:rPr>
        <w:t>Vertrag</w:t>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bookmarkStart w:id="0" w:name="_GoBack"/>
      <w:bookmarkEnd w:id="0"/>
      <w:r w:rsidRPr="00F04A34">
        <w:br w:type="page"/>
      </w:r>
      <w:bookmarkStart w:id="1" w:name="_Toc257822876"/>
      <w:r w:rsidR="000B00BF" w:rsidRPr="00F04A34">
        <w:rPr>
          <w:b/>
        </w:rPr>
        <w:lastRenderedPageBreak/>
        <w:t>Präambel</w:t>
      </w:r>
      <w:bookmarkEnd w:id="1"/>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w:t>
      </w:r>
      <w:proofErr w:type="spellStart"/>
      <w:r w:rsidR="00044E3C" w:rsidRPr="00F04A34">
        <w:rPr>
          <w:lang w:val="de-DE"/>
        </w:rPr>
        <w:t>Gbit</w:t>
      </w:r>
      <w:proofErr w:type="spellEnd"/>
      <w:r w:rsidR="00044E3C" w:rsidRPr="00F04A34">
        <w:rPr>
          <w:lang w:val="de-DE"/>
        </w:rPr>
        <w:t xml:space="preserve">/s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1"/>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2"/>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w:t>
      </w:r>
      <w:proofErr w:type="spellStart"/>
      <w:r w:rsidR="004E3FA6">
        <w:t>Telekommunikation</w:t>
      </w:r>
      <w:r w:rsidR="008E247E">
        <w:rPr>
          <w:lang w:val="de-DE"/>
        </w:rPr>
        <w:t>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w:t>
      </w:r>
      <w:proofErr w:type="spellStart"/>
      <w:r w:rsidR="00A54BB0" w:rsidRPr="00F04A34">
        <w:rPr>
          <w:iCs w:val="0"/>
          <w:color w:val="000000"/>
          <w:szCs w:val="22"/>
        </w:rPr>
        <w:t>to</w:t>
      </w:r>
      <w:proofErr w:type="spellEnd"/>
      <w:r w:rsidR="00A54BB0" w:rsidRPr="00F04A34">
        <w:rPr>
          <w:iCs w:val="0"/>
          <w:color w:val="000000"/>
          <w:szCs w:val="22"/>
        </w:rPr>
        <w:t>-Point Lösungen realisieren können.</w:t>
      </w:r>
    </w:p>
    <w:p w14:paraId="401F397F" w14:textId="671CC253"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w:t>
      </w:r>
      <w:r w:rsidR="00DA4E8F" w:rsidRPr="00DA4E8F">
        <w:t xml:space="preserve">Der Kooperationsvertrag ist </w:t>
      </w:r>
      <w:r w:rsidR="00450C2B">
        <w:rPr>
          <w:lang w:val="de-DE"/>
        </w:rPr>
        <w:t xml:space="preserve">innerhalb von zwei Monaten </w:t>
      </w:r>
      <w:r w:rsidR="00DA4E8F" w:rsidRPr="00DA4E8F">
        <w:t xml:space="preserve">nach der Unterzeichnung als Abdruck der Bundesnetzagentur an </w:t>
      </w:r>
      <w:hyperlink r:id="rId11" w:history="1">
        <w:r w:rsidR="00DA4E8F" w:rsidRPr="00D1194C">
          <w:rPr>
            <w:rStyle w:val="Hyperlink"/>
          </w:rPr>
          <w:t>breitbandbeihilfen@bnetza.de</w:t>
        </w:r>
      </w:hyperlink>
      <w:r w:rsidR="00DA4E8F" w:rsidRPr="00D1194C">
        <w:rPr>
          <w:color w:val="FF0000"/>
        </w:rPr>
        <w:t xml:space="preserve"> </w:t>
      </w:r>
      <w:r w:rsidR="00DA4E8F" w:rsidRPr="00DA4E8F">
        <w:t>zu übermitteln</w:t>
      </w:r>
      <w:r w:rsidR="00DA4E8F">
        <w:rPr>
          <w:lang w:val="de-DE"/>
        </w:rPr>
        <w:t>.</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lastRenderedPageBreak/>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proofErr w:type="gramStart"/>
      <w:r w:rsidRPr="00F04A34">
        <w:rPr>
          <w:rFonts w:ascii="Arial" w:hAnsi="Arial" w:cs="Arial"/>
          <w:b w:val="0"/>
          <w:sz w:val="22"/>
          <w:szCs w:val="22"/>
          <w:lang w:val="de-DE"/>
        </w:rPr>
        <w:t>Sonstiges:_</w:t>
      </w:r>
      <w:proofErr w:type="gramEnd"/>
      <w:r w:rsidRPr="00F04A34">
        <w:rPr>
          <w:rFonts w:ascii="Arial" w:hAnsi="Arial" w:cs="Arial"/>
          <w:b w:val="0"/>
          <w:sz w:val="22"/>
          <w:szCs w:val="22"/>
          <w:lang w:val="de-DE"/>
        </w:rPr>
        <w:t>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w:t>
      </w:r>
      <w:proofErr w:type="spellStart"/>
      <w:r w:rsidR="00DB0383" w:rsidRPr="00F04A34">
        <w:rPr>
          <w:rFonts w:ascii="Arial" w:hAnsi="Arial" w:cs="Arial"/>
          <w:b w:val="0"/>
          <w:sz w:val="22"/>
          <w:szCs w:val="22"/>
          <w:lang w:val="de-DE"/>
        </w:rPr>
        <w:t>BNetzA</w:t>
      </w:r>
      <w:proofErr w:type="spellEnd"/>
      <w:r w:rsidR="00DB0383" w:rsidRPr="00F04A34">
        <w:rPr>
          <w:rFonts w:ascii="Arial" w:hAnsi="Arial" w:cs="Arial"/>
          <w:b w:val="0"/>
          <w:sz w:val="22"/>
          <w:szCs w:val="22"/>
          <w:lang w:val="de-DE"/>
        </w:rPr>
        <w:t xml:space="preserve">)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proofErr w:type="spellStart"/>
      <w:r w:rsidR="0088667C" w:rsidRPr="00F04A34">
        <w:rPr>
          <w:szCs w:val="22"/>
          <w:lang w:val="de-DE"/>
        </w:rPr>
        <w:t>BNetzA</w:t>
      </w:r>
      <w:proofErr w:type="spellEnd"/>
      <w:r w:rsidR="0088667C" w:rsidRPr="00F04A34">
        <w:rPr>
          <w:szCs w:val="22"/>
          <w:lang w:val="de-DE"/>
        </w:rPr>
        <w:t xml:space="preserve">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t>(entsprechend § 2</w:t>
      </w:r>
      <w:r w:rsidR="00C441AD">
        <w:rPr>
          <w:lang w:val="de-DE"/>
        </w:rPr>
        <w:t>8</w:t>
      </w:r>
      <w:r w:rsidRPr="00F04A34">
        <w:t xml:space="preserve"> Abs. 1 TKG).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lastRenderedPageBreak/>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proofErr w:type="spellStart"/>
      <w:r w:rsidR="00070D39" w:rsidRPr="00F04A34">
        <w:t>B</w:t>
      </w:r>
      <w:r w:rsidR="0088667C" w:rsidRPr="00F04A34">
        <w:rPr>
          <w:lang w:val="de-DE"/>
        </w:rPr>
        <w:t>NetzA</w:t>
      </w:r>
      <w:proofErr w:type="spellEnd"/>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w:t>
      </w:r>
      <w:proofErr w:type="spellStart"/>
      <w:r w:rsidR="00070D39" w:rsidRPr="00F04A34">
        <w:t>BNetzA</w:t>
      </w:r>
      <w:proofErr w:type="spellEnd"/>
      <w:r w:rsidR="00070D39" w:rsidRPr="00F04A34">
        <w:t xml:space="preserve">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w:t>
      </w:r>
      <w:r w:rsidRPr="00F04A34">
        <w:rPr>
          <w:lang w:val="de-DE"/>
        </w:rPr>
        <w:lastRenderedPageBreak/>
        <w:t xml:space="preserve">Onlineportal </w:t>
      </w:r>
      <w:hyperlink r:id="rId12"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3"/>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4"/>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w:t>
      </w:r>
      <w:r w:rsidR="004701F6" w:rsidRPr="00F04A34">
        <w:rPr>
          <w:lang w:val="de-DE"/>
        </w:rPr>
        <w:lastRenderedPageBreak/>
        <w:t xml:space="preserve">/Kabelleerrohre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5"/>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xml:space="preserve">, aber vor Versand der Fertigstellungsmitteilung beauftragt wurden, werden spätestens innerhalb von sechs Monaten nach Herstellung der Breitbandversorgung errichtet und nach </w:t>
      </w:r>
      <w:r w:rsidR="0076174D" w:rsidRPr="007F1BC6">
        <w:rPr>
          <w:lang w:val="de-DE"/>
        </w:rPr>
        <w:lastRenderedPageBreak/>
        <w:t>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w:t>
      </w:r>
      <w:r w:rsidRPr="00F04A34">
        <w:rPr>
          <w:lang w:val="de-DE"/>
        </w:rPr>
        <w:lastRenderedPageBreak/>
        <w:t xml:space="preserve">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proofErr w:type="spellStart"/>
      <w:r w:rsidR="00393088" w:rsidRPr="00F04A34">
        <w:t>vektorisierten</w:t>
      </w:r>
      <w:proofErr w:type="spellEnd"/>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w:t>
      </w:r>
      <w:r w:rsidRPr="00F04A34">
        <w:lastRenderedPageBreak/>
        <w:t xml:space="preserve">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26F05082"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 xml:space="preserve">Bericht zu erstatten. Der Bericht muss folgende Informationen enthalten: das Datum der Inbetriebnahme des Netzes, die Vorleistungsprodukte, die Zahl der Zugangsinteressenten und </w:t>
      </w:r>
      <w:proofErr w:type="spellStart"/>
      <w:r w:rsidR="009966ED">
        <w:rPr>
          <w:lang w:eastAsia="x-none"/>
        </w:rPr>
        <w:t>Dienst</w:t>
      </w:r>
      <w:r w:rsidR="001F6F1C">
        <w:rPr>
          <w:lang w:eastAsia="x-none"/>
        </w:rPr>
        <w:t>e</w:t>
      </w:r>
      <w:r w:rsidR="009966ED">
        <w:rPr>
          <w:lang w:eastAsia="x-none"/>
        </w:rPr>
        <w:t>anbieter</w:t>
      </w:r>
      <w:proofErr w:type="spellEnd"/>
      <w:r w:rsidR="009966ED">
        <w:rPr>
          <w:lang w:eastAsia="x-none"/>
        </w:rPr>
        <w:t xml:space="preserve">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6"/>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7"/>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8"/>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9"/>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6"/>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10"/>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1"/>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w:t>
      </w:r>
      <w:proofErr w:type="gramStart"/>
      <w:r w:rsidRPr="00F04A34">
        <w:rPr>
          <w:lang w:val="de-DE"/>
        </w:rPr>
        <w:t xml:space="preserve">von </w:t>
      </w:r>
      <w:r w:rsidR="00DA2D6F">
        <w:rPr>
          <w:lang w:val="de-DE"/>
        </w:rPr>
        <w:t xml:space="preserve"> §</w:t>
      </w:r>
      <w:proofErr w:type="gramEnd"/>
      <w:r w:rsidR="00DA2D6F">
        <w:rPr>
          <w:lang w:val="de-DE"/>
        </w:rPr>
        <w:t xml:space="preserve">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 xml:space="preserve">Ein Abdruck des unterschriebenen Vertrages wird durch die Kommune an die </w:t>
      </w:r>
      <w:proofErr w:type="spellStart"/>
      <w:r w:rsidR="00BB51BC" w:rsidRPr="007C304A">
        <w:rPr>
          <w:rFonts w:eastAsia="Arial" w:cs="Arial"/>
          <w:color w:val="131313"/>
          <w:szCs w:val="22"/>
          <w:lang w:eastAsia="en-US"/>
        </w:rPr>
        <w:t>BNetzA</w:t>
      </w:r>
      <w:proofErr w:type="spellEnd"/>
      <w:r w:rsidR="00BB51BC" w:rsidRPr="007C304A">
        <w:rPr>
          <w:rFonts w:eastAsia="Arial" w:cs="Arial"/>
          <w:color w:val="131313"/>
          <w:szCs w:val="22"/>
          <w:lang w:eastAsia="en-US"/>
        </w:rPr>
        <w:t xml:space="preserve">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2"/>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3"/>
      <w:headerReference w:type="default" r:id="rId14"/>
      <w:footerReference w:type="default" r:id="rId15"/>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3DD1B0EA" w:rsidR="00731ED8" w:rsidRDefault="00731ED8">
    <w:pPr>
      <w:pStyle w:val="Fuzeile"/>
      <w:jc w:val="right"/>
    </w:pPr>
    <w:r>
      <w:fldChar w:fldCharType="begin"/>
    </w:r>
    <w:r>
      <w:instrText xml:space="preserve"> PAGE   \* MERGEFORMAT </w:instrText>
    </w:r>
    <w:r>
      <w:fldChar w:fldCharType="separate"/>
    </w:r>
    <w:r w:rsidR="00450C2B">
      <w:rPr>
        <w:noProof/>
      </w:rPr>
      <w:t>5</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2">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3">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4">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5">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6">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7">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w:t>
      </w:r>
      <w:r w:rsidRPr="00634B73">
        <w:rPr>
          <w:iCs/>
        </w:rPr>
        <w:t>Die Kommune nimmt die Sicherheitsleistung an.</w:t>
      </w:r>
      <w:r>
        <w:rPr>
          <w:iCs/>
          <w:lang w:val="de-DE"/>
        </w:rPr>
        <w:t>“</w:t>
      </w:r>
    </w:p>
  </w:footnote>
  <w:footnote w:id="8">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9">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0">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1">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w:t>
      </w:r>
      <w:proofErr w:type="gramStart"/>
      <w:r w:rsidRPr="000E28F5">
        <w:rPr>
          <w:lang w:val="de-DE"/>
        </w:rPr>
        <w:t xml:space="preserve">und </w:t>
      </w:r>
      <w:r>
        <w:rPr>
          <w:lang w:val="de-DE"/>
        </w:rPr>
        <w:t xml:space="preserve"> </w:t>
      </w:r>
      <w:r w:rsidR="00062E66">
        <w:rPr>
          <w:lang w:val="de-DE"/>
        </w:rPr>
        <w:t>rechtswirksamer</w:t>
      </w:r>
      <w:proofErr w:type="gramEnd"/>
      <w:r w:rsidR="00062E66">
        <w:rPr>
          <w:lang w:val="de-DE"/>
        </w:rPr>
        <w:t xml:space="preserve">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2">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50C2B"/>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1BB7"/>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4E8F"/>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itbandbeihilfen@bnetz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89190-F514-4E21-BC55-266CDFD9E61F}">
  <ds:schemaRefs>
    <ds:schemaRef ds:uri="http://purl.org/dc/dcmitype/"/>
    <ds:schemaRef ds:uri="9976a5b6-dc90-4b10-9fe8-aa25f387bfbf"/>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622A76C7-9171-4CAF-9897-F6C6788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5001</Words>
  <Characters>31507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36436</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Heuberger, Carolin (LDBV)</cp:lastModifiedBy>
  <cp:revision>3</cp:revision>
  <cp:lastPrinted>2016-01-12T09:16:00Z</cp:lastPrinted>
  <dcterms:created xsi:type="dcterms:W3CDTF">2022-09-09T08:20:00Z</dcterms:created>
  <dcterms:modified xsi:type="dcterms:W3CDTF">2022-09-12T11:43:00Z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